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0557E337" w14:textId="374854BB" w:rsidR="00F471CE" w:rsidRPr="00FD5FBA" w:rsidRDefault="007C2AC8" w:rsidP="0007415F">
            <w:pPr>
              <w:rPr>
                <w:rFonts w:cstheme="minorHAnsi"/>
                <w:bCs/>
              </w:rPr>
            </w:pPr>
            <w:r>
              <w:rPr>
                <w:rFonts w:cstheme="minorHAnsi"/>
                <w:bCs/>
              </w:rPr>
              <w:t>3</w:t>
            </w:r>
            <w:r w:rsidR="007319EB">
              <w:rPr>
                <w:rFonts w:cstheme="minorHAnsi"/>
                <w:bCs/>
              </w:rPr>
              <w:t xml:space="preserve">.5 </w:t>
            </w:r>
            <w:r>
              <w:rPr>
                <w:rFonts w:cstheme="minorHAnsi"/>
                <w:bCs/>
              </w:rPr>
              <w:t>Assessing Competitiveness</w:t>
            </w:r>
          </w:p>
          <w:p w14:paraId="757809B9" w14:textId="1A73FD55" w:rsidR="008E39B4" w:rsidRPr="00811F13" w:rsidRDefault="008E39B4" w:rsidP="005F4E99">
            <w:pPr>
              <w:rPr>
                <w:rFonts w:cstheme="minorHAnsi"/>
                <w:color w:val="000000" w:themeColor="text1"/>
                <w:sz w:val="20"/>
                <w:szCs w:val="20"/>
              </w:rPr>
            </w:pPr>
          </w:p>
        </w:tc>
        <w:tc>
          <w:tcPr>
            <w:tcW w:w="5386" w:type="dxa"/>
            <w:shd w:val="clear" w:color="auto" w:fill="FFEFFF"/>
          </w:tcPr>
          <w:p w14:paraId="09159CB2" w14:textId="77777777" w:rsidR="00346D0E" w:rsidRDefault="008E39B4" w:rsidP="00346D0E">
            <w:pPr>
              <w:rPr>
                <w:rFonts w:cstheme="minorHAnsi"/>
                <w:b/>
                <w:bCs/>
                <w:color w:val="522A5B"/>
                <w:sz w:val="24"/>
                <w:szCs w:val="24"/>
                <w:u w:val="single"/>
              </w:rPr>
            </w:pPr>
            <w:r w:rsidRPr="00F9765D">
              <w:rPr>
                <w:rFonts w:cstheme="minorHAnsi"/>
                <w:b/>
                <w:bCs/>
                <w:color w:val="522A5B"/>
                <w:sz w:val="24"/>
                <w:szCs w:val="24"/>
                <w:u w:val="single"/>
              </w:rPr>
              <w:t>Why this? Why now?</w:t>
            </w:r>
          </w:p>
          <w:p w14:paraId="6C2DD527" w14:textId="77777777" w:rsidR="00D71A27" w:rsidRDefault="00821F78" w:rsidP="00821F78">
            <w:pPr>
              <w:spacing w:after="0"/>
              <w:rPr>
                <w:rFonts w:cstheme="minorHAnsi"/>
                <w:bCs/>
              </w:rPr>
            </w:pPr>
            <w:r>
              <w:rPr>
                <w:rFonts w:cstheme="minorHAnsi"/>
                <w:bCs/>
              </w:rPr>
              <w:t xml:space="preserve"> </w:t>
            </w:r>
          </w:p>
          <w:p w14:paraId="4C75361B" w14:textId="3EE8C8BC" w:rsidR="001F7779" w:rsidRPr="00346D0E" w:rsidRDefault="007C2AC8" w:rsidP="007319EB">
            <w:pPr>
              <w:spacing w:after="0"/>
              <w:rPr>
                <w:rFonts w:cstheme="minorHAnsi"/>
                <w:b/>
                <w:bCs/>
                <w:color w:val="522A5B"/>
                <w:u w:val="single"/>
              </w:rPr>
            </w:pPr>
            <w:r>
              <w:rPr>
                <w:rFonts w:cstheme="minorHAnsi"/>
                <w:bCs/>
              </w:rPr>
              <w:t xml:space="preserve">To inform strategic decision making and in order to ascertain how competitiveness a business is, businesses will interpret their financial accounts and use ratio’s to assess the state of the business. Decisions can then be made based on those calculations.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0F5ED550" w14:textId="38474CAB" w:rsidR="00ED512C" w:rsidRDefault="009061D8" w:rsidP="00ED512C">
            <w:pPr>
              <w:rPr>
                <w:rFonts w:cstheme="minorHAnsi"/>
                <w:color w:val="000000" w:themeColor="text1"/>
                <w:sz w:val="20"/>
                <w:szCs w:val="20"/>
              </w:rPr>
            </w:pPr>
            <w:r>
              <w:rPr>
                <w:rFonts w:cstheme="minorHAnsi"/>
                <w:color w:val="000000" w:themeColor="text1"/>
                <w:sz w:val="20"/>
                <w:szCs w:val="20"/>
              </w:rPr>
              <w:t xml:space="preserve"> </w:t>
            </w:r>
            <w:r w:rsidR="00ED512C">
              <w:rPr>
                <w:rFonts w:cstheme="minorHAnsi"/>
                <w:color w:val="000000" w:themeColor="text1"/>
                <w:sz w:val="20"/>
                <w:szCs w:val="20"/>
              </w:rPr>
              <w:t>Statement of comprehensive income</w:t>
            </w:r>
          </w:p>
          <w:p w14:paraId="2255209A" w14:textId="61327DF6" w:rsidR="00ED512C" w:rsidRDefault="00ED512C" w:rsidP="00ED512C">
            <w:pPr>
              <w:rPr>
                <w:rFonts w:cstheme="minorHAnsi"/>
                <w:color w:val="000000" w:themeColor="text1"/>
                <w:sz w:val="20"/>
                <w:szCs w:val="20"/>
              </w:rPr>
            </w:pPr>
            <w:r>
              <w:rPr>
                <w:rFonts w:cstheme="minorHAnsi"/>
                <w:color w:val="000000" w:themeColor="text1"/>
                <w:sz w:val="20"/>
                <w:szCs w:val="20"/>
              </w:rPr>
              <w:t>Statement of financial position</w:t>
            </w:r>
          </w:p>
          <w:p w14:paraId="69173496" w14:textId="6CB7E644" w:rsidR="00ED512C" w:rsidRDefault="00ED512C" w:rsidP="00ED512C">
            <w:pPr>
              <w:rPr>
                <w:rFonts w:cstheme="minorHAnsi"/>
                <w:color w:val="000000" w:themeColor="text1"/>
                <w:sz w:val="20"/>
                <w:szCs w:val="20"/>
              </w:rPr>
            </w:pPr>
            <w:r>
              <w:rPr>
                <w:rFonts w:cstheme="minorHAnsi"/>
                <w:color w:val="000000" w:themeColor="text1"/>
                <w:sz w:val="20"/>
                <w:szCs w:val="20"/>
              </w:rPr>
              <w:t>Gearing Ratio</w:t>
            </w:r>
          </w:p>
          <w:p w14:paraId="66099FF5" w14:textId="5A1B1C31" w:rsidR="00ED512C" w:rsidRDefault="00ED512C" w:rsidP="00ED512C">
            <w:pPr>
              <w:rPr>
                <w:rFonts w:cstheme="minorHAnsi"/>
                <w:color w:val="000000" w:themeColor="text1"/>
                <w:sz w:val="20"/>
                <w:szCs w:val="20"/>
              </w:rPr>
            </w:pPr>
            <w:r>
              <w:rPr>
                <w:rFonts w:cstheme="minorHAnsi"/>
                <w:color w:val="000000" w:themeColor="text1"/>
                <w:sz w:val="20"/>
                <w:szCs w:val="20"/>
              </w:rPr>
              <w:t>Return on Capital Employed</w:t>
            </w:r>
          </w:p>
          <w:p w14:paraId="5D155C37" w14:textId="424F0A1D" w:rsidR="00ED512C" w:rsidRDefault="00ED512C" w:rsidP="00ED512C">
            <w:pPr>
              <w:rPr>
                <w:rFonts w:cstheme="minorHAnsi"/>
                <w:color w:val="000000" w:themeColor="text1"/>
                <w:sz w:val="20"/>
                <w:szCs w:val="20"/>
              </w:rPr>
            </w:pPr>
            <w:r>
              <w:rPr>
                <w:rFonts w:cstheme="minorHAnsi"/>
                <w:color w:val="000000" w:themeColor="text1"/>
                <w:sz w:val="20"/>
                <w:szCs w:val="20"/>
              </w:rPr>
              <w:t>Labour productivity</w:t>
            </w:r>
          </w:p>
          <w:p w14:paraId="6D43BFEB" w14:textId="5D5DE286" w:rsidR="00ED512C" w:rsidRDefault="00ED512C" w:rsidP="00ED512C">
            <w:pPr>
              <w:rPr>
                <w:rFonts w:cstheme="minorHAnsi"/>
                <w:color w:val="000000" w:themeColor="text1"/>
                <w:sz w:val="20"/>
                <w:szCs w:val="20"/>
              </w:rPr>
            </w:pPr>
            <w:r>
              <w:rPr>
                <w:rFonts w:cstheme="minorHAnsi"/>
                <w:color w:val="000000" w:themeColor="text1"/>
                <w:sz w:val="20"/>
                <w:szCs w:val="20"/>
              </w:rPr>
              <w:t>Labour turnover and retention</w:t>
            </w:r>
          </w:p>
          <w:p w14:paraId="75C81062" w14:textId="60C4FED0" w:rsidR="00ED512C" w:rsidRPr="00811F13" w:rsidRDefault="00ED512C" w:rsidP="00ED512C">
            <w:pPr>
              <w:rPr>
                <w:rFonts w:cstheme="minorHAnsi"/>
                <w:color w:val="000000" w:themeColor="text1"/>
                <w:sz w:val="20"/>
                <w:szCs w:val="20"/>
              </w:rPr>
            </w:pPr>
            <w:r>
              <w:rPr>
                <w:rFonts w:cstheme="minorHAnsi"/>
                <w:color w:val="000000" w:themeColor="text1"/>
                <w:sz w:val="20"/>
                <w:szCs w:val="20"/>
              </w:rPr>
              <w:t xml:space="preserve">Absenteeism </w:t>
            </w:r>
            <w:bookmarkStart w:id="0" w:name="_GoBack"/>
            <w:bookmarkEnd w:id="0"/>
          </w:p>
          <w:p w14:paraId="49147324" w14:textId="127C177C" w:rsidR="005418B9" w:rsidRPr="00811F13" w:rsidRDefault="005418B9" w:rsidP="005418B9">
            <w:pPr>
              <w:rPr>
                <w:rFonts w:cstheme="minorHAnsi"/>
                <w:color w:val="000000" w:themeColor="text1"/>
                <w:sz w:val="20"/>
                <w:szCs w:val="20"/>
              </w:rPr>
            </w:pPr>
          </w:p>
        </w:tc>
      </w:tr>
      <w:tr w:rsidR="008E39B4" w:rsidRPr="00F9765D" w14:paraId="70713B32" w14:textId="77777777" w:rsidTr="00ED512C">
        <w:trPr>
          <w:trHeight w:val="3449"/>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5D62EB46" w14:textId="77777777" w:rsidR="0037146A" w:rsidRDefault="007C2AC8" w:rsidP="007C2AC8">
            <w:r>
              <w:t>3.5.1 – Interpretation of financial statements – statement of comprehensive income and statement of financial position</w:t>
            </w:r>
          </w:p>
          <w:p w14:paraId="160C1DFC" w14:textId="77777777" w:rsidR="007C2AC8" w:rsidRDefault="007C2AC8" w:rsidP="007C2AC8">
            <w:r>
              <w:t>3.5.2 – Ratio analysis – Gearing ratio, Return on Capital Employed, interpretation of those ratio’s and the limitations of ration analysis</w:t>
            </w:r>
          </w:p>
          <w:p w14:paraId="704CD9BE" w14:textId="621749BF" w:rsidR="007C2AC8" w:rsidRPr="0037146A" w:rsidRDefault="007C2AC8" w:rsidP="007C2AC8">
            <w:r>
              <w:t>3.5.3 – Human Resources – Calculate and interpret labour</w:t>
            </w:r>
            <w:r w:rsidR="00ED512C">
              <w:t xml:space="preserve"> productivity, labour turnover and retention and absenteeism and human resources strategies to increase productivity and retention and to reduce turnover and absenteeism (financial rewards, employee share ownership, consultation strategies and empowerment strategies) </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C91811">
        <w:trPr>
          <w:trHeight w:val="1249"/>
        </w:trPr>
        <w:tc>
          <w:tcPr>
            <w:tcW w:w="8070" w:type="dxa"/>
            <w:gridSpan w:val="2"/>
            <w:shd w:val="clear" w:color="auto" w:fill="FFEFFF"/>
          </w:tcPr>
          <w:p w14:paraId="42F8EE7E" w14:textId="7433ED8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01E2D6F" w14:textId="376C5570" w:rsidR="002A195D" w:rsidRPr="001F7779" w:rsidRDefault="00ED512C" w:rsidP="005418B9">
            <w:pPr>
              <w:rPr>
                <w:rFonts w:cstheme="minorHAnsi"/>
                <w:color w:val="000000" w:themeColor="text1"/>
              </w:rPr>
            </w:pPr>
            <w:r>
              <w:rPr>
                <w:rFonts w:cstheme="minorHAnsi"/>
                <w:color w:val="000000" w:themeColor="text1"/>
              </w:rPr>
              <w:t>Case studies / worksheets from Pearson textbook</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3DF55F96" w:rsidR="00811F13" w:rsidRPr="002A195D" w:rsidRDefault="00545283" w:rsidP="00C91811">
            <w:pPr>
              <w:rPr>
                <w:rFonts w:cstheme="minorHAnsi"/>
                <w:b/>
                <w:bCs/>
                <w:color w:val="000000" w:themeColor="text1"/>
                <w:u w:val="single"/>
              </w:rPr>
            </w:pPr>
            <w:r>
              <w:rPr>
                <w:rFonts w:cstheme="minorHAnsi"/>
                <w:bCs/>
                <w:color w:val="000000" w:themeColor="text1"/>
              </w:rPr>
              <w:t>Summative assessment and worksheets</w:t>
            </w: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ED512C"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000A5"/>
    <w:multiLevelType w:val="multilevel"/>
    <w:tmpl w:val="AA7A8B0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F7779"/>
    <w:rsid w:val="002A195D"/>
    <w:rsid w:val="002B0167"/>
    <w:rsid w:val="00326F13"/>
    <w:rsid w:val="00346D0E"/>
    <w:rsid w:val="0037146A"/>
    <w:rsid w:val="003E6B6F"/>
    <w:rsid w:val="00440E6C"/>
    <w:rsid w:val="00444CB7"/>
    <w:rsid w:val="0046538E"/>
    <w:rsid w:val="004662F8"/>
    <w:rsid w:val="00487E07"/>
    <w:rsid w:val="00494022"/>
    <w:rsid w:val="004B17FA"/>
    <w:rsid w:val="005418B9"/>
    <w:rsid w:val="00545283"/>
    <w:rsid w:val="005C250D"/>
    <w:rsid w:val="005F163F"/>
    <w:rsid w:val="005F4E99"/>
    <w:rsid w:val="007146EF"/>
    <w:rsid w:val="007319EB"/>
    <w:rsid w:val="0076728B"/>
    <w:rsid w:val="00784057"/>
    <w:rsid w:val="007C2AC8"/>
    <w:rsid w:val="00811F13"/>
    <w:rsid w:val="00821F78"/>
    <w:rsid w:val="0083335D"/>
    <w:rsid w:val="00847F4E"/>
    <w:rsid w:val="00867D25"/>
    <w:rsid w:val="008B1952"/>
    <w:rsid w:val="008E39B4"/>
    <w:rsid w:val="009061D8"/>
    <w:rsid w:val="00917E0B"/>
    <w:rsid w:val="00941820"/>
    <w:rsid w:val="00A23F48"/>
    <w:rsid w:val="00A314F1"/>
    <w:rsid w:val="00A548B4"/>
    <w:rsid w:val="00B47DF2"/>
    <w:rsid w:val="00BA646E"/>
    <w:rsid w:val="00C1340F"/>
    <w:rsid w:val="00C91811"/>
    <w:rsid w:val="00CA59AB"/>
    <w:rsid w:val="00D26324"/>
    <w:rsid w:val="00D67D54"/>
    <w:rsid w:val="00D71A27"/>
    <w:rsid w:val="00DB0006"/>
    <w:rsid w:val="00DC23A5"/>
    <w:rsid w:val="00E5371A"/>
    <w:rsid w:val="00E64F4C"/>
    <w:rsid w:val="00E77603"/>
    <w:rsid w:val="00EA3D3A"/>
    <w:rsid w:val="00EC7172"/>
    <w:rsid w:val="00ED512C"/>
    <w:rsid w:val="00F43D58"/>
    <w:rsid w:val="00F471CE"/>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purl.org/dc/elements/1.1/"/>
    <ds:schemaRef ds:uri="http://schemas.microsoft.com/office/2006/metadata/properties"/>
    <ds:schemaRef ds:uri="3e044cb3-0846-4a39-8369-da1e000195f9"/>
    <ds:schemaRef ds:uri="http://schemas.microsoft.com/office/2006/documentManagement/types"/>
    <ds:schemaRef ds:uri="http://www.w3.org/XML/1998/namespace"/>
    <ds:schemaRef ds:uri="http://purl.org/dc/terms/"/>
    <ds:schemaRef ds:uri="35818081-bca2-4bd4-854d-6ba26da810c3"/>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9315D3-E062-4391-B431-C40AE9A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4.xml><?xml version="1.0" encoding="utf-8"?>
<ds:datastoreItem xmlns:ds="http://schemas.openxmlformats.org/officeDocument/2006/customXml" ds:itemID="{8CE9C067-BFB3-4A2A-A2EA-1A21C7B5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6</cp:revision>
  <dcterms:created xsi:type="dcterms:W3CDTF">2022-05-10T12:00:00Z</dcterms:created>
  <dcterms:modified xsi:type="dcterms:W3CDTF">2022-05-20T08:22:00Z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